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6" w:rsidRPr="00775DC6" w:rsidRDefault="00775DC6" w:rsidP="002862AB">
      <w:pPr>
        <w:jc w:val="center"/>
        <w:rPr>
          <w:b/>
          <w:sz w:val="24"/>
          <w:szCs w:val="24"/>
        </w:rPr>
      </w:pPr>
      <w:r w:rsidRPr="005D5345">
        <w:rPr>
          <w:b/>
          <w:sz w:val="24"/>
          <w:szCs w:val="24"/>
        </w:rPr>
        <w:t>Právní hledisko TP s huliči a pochlastávači</w:t>
      </w:r>
    </w:p>
    <w:p w:rsidR="00775DC6" w:rsidRDefault="00775DC6" w:rsidP="002862AB">
      <w:pPr>
        <w:jc w:val="both"/>
        <w:rPr>
          <w:b/>
        </w:rPr>
      </w:pPr>
      <w:r w:rsidRPr="005D5345">
        <w:rPr>
          <w:b/>
        </w:rPr>
        <w:t>Zákon č. 359/1999 Sb., O sociálně právní ochraně dětí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§6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(1) Sociálně-právní ochrana se zaměřuje zejména na děti,</w:t>
      </w:r>
    </w:p>
    <w:p w:rsidR="00C566F7" w:rsidRPr="00433204" w:rsidRDefault="00C566F7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</w:t>
      </w:r>
      <w:r w:rsidRPr="00433204">
        <w:rPr>
          <w:rFonts w:asciiTheme="minorHAnsi" w:hAnsiTheme="minorHAnsi"/>
          <w:sz w:val="22"/>
          <w:szCs w:val="22"/>
        </w:rPr>
        <w:t>…..</w:t>
      </w:r>
    </w:p>
    <w:p w:rsidR="00775DC6" w:rsidRPr="005D5345" w:rsidRDefault="00C566F7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</w:t>
      </w:r>
      <w:r w:rsidRPr="005D5345">
        <w:rPr>
          <w:rFonts w:asciiTheme="minorHAnsi" w:hAnsiTheme="minorHAnsi"/>
          <w:sz w:val="22"/>
          <w:szCs w:val="22"/>
        </w:rPr>
        <w:t xml:space="preserve">které vedou </w:t>
      </w:r>
      <w:r w:rsidR="00775DC6" w:rsidRPr="005D5345">
        <w:rPr>
          <w:rFonts w:asciiTheme="minorHAnsi" w:hAnsiTheme="minorHAnsi"/>
          <w:sz w:val="22"/>
          <w:szCs w:val="22"/>
        </w:rPr>
        <w:t xml:space="preserve">zahálčivý nebo nemravný život spočívající zejména v tom, že zanedbávají školní docházku, nepracují, i když nemají dostatečný zdroj obživy, </w:t>
      </w:r>
      <w:r w:rsidR="00775DC6" w:rsidRPr="005D5345">
        <w:rPr>
          <w:rFonts w:asciiTheme="minorHAnsi" w:hAnsiTheme="minorHAnsi"/>
          <w:b/>
          <w:sz w:val="22"/>
          <w:szCs w:val="22"/>
        </w:rPr>
        <w:t>požívají alkohol nebo návykové látky</w:t>
      </w:r>
      <w:r w:rsidR="00775DC6" w:rsidRPr="005D5345">
        <w:rPr>
          <w:rFonts w:asciiTheme="minorHAnsi" w:hAnsiTheme="minorHAnsi"/>
          <w:sz w:val="22"/>
          <w:szCs w:val="22"/>
        </w:rPr>
        <w:t xml:space="preserve">, živí se prostitucí, </w:t>
      </w:r>
      <w:r w:rsidR="00775DC6" w:rsidRPr="005D5345">
        <w:rPr>
          <w:rFonts w:asciiTheme="minorHAnsi" w:hAnsiTheme="minorHAnsi"/>
          <w:b/>
          <w:sz w:val="22"/>
          <w:szCs w:val="22"/>
        </w:rPr>
        <w:t>spáchaly trestný čin nebo, jde-li o děti mladší než patnáct let, spáchaly čin, který by jinak byl trestným činem</w:t>
      </w:r>
      <w:r w:rsidR="00775DC6" w:rsidRPr="005D5345">
        <w:rPr>
          <w:rFonts w:asciiTheme="minorHAnsi" w:hAnsiTheme="minorHAnsi"/>
          <w:sz w:val="22"/>
          <w:szCs w:val="22"/>
        </w:rPr>
        <w:t>,</w:t>
      </w:r>
      <w:r w:rsidR="00775DC6">
        <w:rPr>
          <w:rFonts w:asciiTheme="minorHAnsi" w:hAnsiTheme="minorHAnsi"/>
          <w:sz w:val="22"/>
          <w:szCs w:val="22"/>
        </w:rPr>
        <w:t xml:space="preserve"> </w:t>
      </w:r>
      <w:r w:rsidR="00775DC6" w:rsidRPr="005D5345">
        <w:rPr>
          <w:rFonts w:asciiTheme="minorHAnsi" w:hAnsiTheme="minorHAnsi"/>
          <w:sz w:val="22"/>
          <w:szCs w:val="22"/>
        </w:rPr>
        <w:t>4) opakovaně nebo soustavně páchají</w:t>
      </w:r>
    </w:p>
    <w:p w:rsidR="00775DC6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přestupky</w:t>
      </w:r>
      <w:r>
        <w:rPr>
          <w:rFonts w:asciiTheme="minorHAnsi" w:hAnsiTheme="minorHAnsi"/>
          <w:sz w:val="22"/>
          <w:szCs w:val="22"/>
        </w:rPr>
        <w:t xml:space="preserve"> </w:t>
      </w:r>
      <w:r w:rsidRPr="005D5345">
        <w:rPr>
          <w:rFonts w:asciiTheme="minorHAnsi" w:hAnsiTheme="minorHAnsi"/>
          <w:sz w:val="22"/>
          <w:szCs w:val="22"/>
        </w:rPr>
        <w:t>5) nebo jinak ohrožují občanské soužití;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b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 xml:space="preserve">Státní orgány, </w:t>
      </w:r>
      <w:r w:rsidRPr="005D5345">
        <w:rPr>
          <w:rFonts w:asciiTheme="minorHAnsi" w:hAnsiTheme="minorHAnsi"/>
          <w:b/>
          <w:sz w:val="22"/>
          <w:szCs w:val="22"/>
        </w:rPr>
        <w:t>pověřené osoby</w:t>
      </w:r>
      <w:r w:rsidRPr="005D5345">
        <w:rPr>
          <w:rFonts w:asciiTheme="minorHAnsi" w:hAnsiTheme="minorHAnsi"/>
          <w:sz w:val="22"/>
          <w:szCs w:val="22"/>
        </w:rPr>
        <w:t xml:space="preserve">, školy, školská zařízení a zdravotnická zařízení, popřípadě </w:t>
      </w:r>
      <w:r w:rsidRPr="005D5345">
        <w:rPr>
          <w:rFonts w:asciiTheme="minorHAnsi" w:hAnsiTheme="minorHAnsi"/>
          <w:b/>
          <w:sz w:val="22"/>
          <w:szCs w:val="22"/>
        </w:rPr>
        <w:t>další zařízení určená pro děti</w:t>
      </w:r>
      <w:r w:rsidRPr="005D5345">
        <w:rPr>
          <w:rFonts w:asciiTheme="minorHAnsi" w:hAnsiTheme="minorHAnsi"/>
          <w:sz w:val="22"/>
          <w:szCs w:val="22"/>
        </w:rPr>
        <w:t xml:space="preserve"> jsou </w:t>
      </w:r>
      <w:r w:rsidRPr="005D5345">
        <w:rPr>
          <w:rFonts w:asciiTheme="minorHAnsi" w:hAnsiTheme="minorHAnsi"/>
          <w:b/>
          <w:sz w:val="22"/>
          <w:szCs w:val="22"/>
        </w:rPr>
        <w:t>povinny oznámit obecnímu úřadu obce s rozšířenou působností skutečnosti, které nasvědčují tomu, že jde o děti uvedené v § 6 odst.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1, a to bez zbytečného odkladu po tom, kdy se o takové skutečnosti dozví.</w:t>
      </w:r>
    </w:p>
    <w:p w:rsidR="00775DC6" w:rsidRDefault="00775DC6" w:rsidP="002862AB">
      <w:pPr>
        <w:pStyle w:val="Prosttext"/>
        <w:jc w:val="both"/>
        <w:rPr>
          <w:rFonts w:ascii="Calibri" w:eastAsia="Calibri" w:hAnsi="Calibri" w:cs="Times New Roman"/>
          <w:b/>
          <w:sz w:val="22"/>
          <w:szCs w:val="22"/>
        </w:rPr>
      </w:pP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§ 53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Povinnosti státních orgánů, dalších právnických a fyzických osob a pověřených osob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(1) Na výzvu orgánů sociálně-právní ochrany jsou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a) státní orgány,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b) zaměstnavatelé,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c) další právnické osoby, zejména školy, školská, zdravotnická a jiná obdobná zařízení,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d) fyzické osoby, pokud jsou zřizovateli škol a dalších zařízení uvedených v písmenu c),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sz w:val="22"/>
          <w:szCs w:val="22"/>
        </w:rPr>
        <w:t>e) pověřené osoby,</w:t>
      </w:r>
    </w:p>
    <w:p w:rsidR="00775DC6" w:rsidRPr="005D5345" w:rsidRDefault="00775DC6" w:rsidP="002862AB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5D5345">
        <w:rPr>
          <w:rFonts w:asciiTheme="minorHAnsi" w:hAnsiTheme="minorHAnsi"/>
          <w:b/>
          <w:sz w:val="22"/>
          <w:szCs w:val="22"/>
        </w:rPr>
        <w:t>povinni sdělit bezplatně údaje</w:t>
      </w:r>
      <w:r w:rsidRPr="005D5345">
        <w:rPr>
          <w:rFonts w:asciiTheme="minorHAnsi" w:hAnsiTheme="minorHAnsi"/>
          <w:sz w:val="22"/>
          <w:szCs w:val="22"/>
        </w:rPr>
        <w:t xml:space="preserve"> potřebné podle tohoto zákona pro poskytnutí sociálněprávní ochrany nebo pro účely rozhodování o vydání pověření, nebrání-li tomu zvláštní právní předpis.</w:t>
      </w:r>
    </w:p>
    <w:p w:rsidR="00E646B9" w:rsidRDefault="00E646B9" w:rsidP="00E646B9">
      <w:pPr>
        <w:spacing w:after="0" w:line="240" w:lineRule="auto"/>
        <w:jc w:val="both"/>
        <w:rPr>
          <w:b/>
        </w:rPr>
      </w:pPr>
    </w:p>
    <w:p w:rsidR="001110D2" w:rsidRPr="00C566F7" w:rsidRDefault="00C566F7" w:rsidP="002862A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</w:t>
      </w:r>
      <w:r w:rsidR="001110D2" w:rsidRPr="00C566F7">
        <w:rPr>
          <w:rFonts w:asciiTheme="minorHAnsi" w:hAnsiTheme="minorHAnsi"/>
          <w:b/>
        </w:rPr>
        <w:t xml:space="preserve">ákon č. 40/2009 Sb., trestní zákoník </w:t>
      </w:r>
    </w:p>
    <w:p w:rsidR="00AD1AE2" w:rsidRPr="00EB27FB" w:rsidRDefault="00AD1AE2" w:rsidP="002862AB">
      <w:pPr>
        <w:spacing w:after="0" w:line="240" w:lineRule="auto"/>
        <w:jc w:val="both"/>
        <w:rPr>
          <w:rFonts w:asciiTheme="minorHAnsi" w:hAnsiTheme="minorHAnsi"/>
          <w:lang w:eastAsia="cs-CZ"/>
        </w:rPr>
      </w:pPr>
      <w:bookmarkStart w:id="0" w:name="par204"/>
      <w:r w:rsidRPr="00EB27FB">
        <w:rPr>
          <w:rFonts w:asciiTheme="minorHAnsi" w:hAnsiTheme="minorHAnsi"/>
        </w:rPr>
        <w:t>§ 204 Podání alkoholu dítěti</w:t>
      </w:r>
      <w:bookmarkEnd w:id="0"/>
    </w:p>
    <w:p w:rsidR="00EB27FB" w:rsidRDefault="00A952CE" w:rsidP="002862AB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bookmarkStart w:id="1" w:name="par274"/>
      <w:r w:rsidRPr="00EB27FB">
        <w:rPr>
          <w:rFonts w:asciiTheme="minorHAnsi" w:hAnsiTheme="minorHAnsi"/>
        </w:rPr>
        <w:t>§ 274 Ohrožení pod vlivem návykové látky</w:t>
      </w:r>
      <w:bookmarkEnd w:id="1"/>
    </w:p>
    <w:p w:rsidR="001110D2" w:rsidRPr="00EB27FB" w:rsidRDefault="001110D2" w:rsidP="002862AB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EB27FB">
        <w:rPr>
          <w:rFonts w:asciiTheme="minorHAnsi" w:hAnsiTheme="minorHAnsi"/>
          <w:lang w:eastAsia="cs-CZ"/>
        </w:rPr>
        <w:t xml:space="preserve">§ 283 – Nedovolená výroba a jiné nakládání s omamnými a psychotropními látkami a s jedy </w:t>
      </w:r>
    </w:p>
    <w:p w:rsidR="00EB27FB" w:rsidRDefault="001110D2" w:rsidP="002862AB">
      <w:pPr>
        <w:spacing w:after="0" w:line="240" w:lineRule="auto"/>
        <w:jc w:val="both"/>
        <w:rPr>
          <w:rFonts w:asciiTheme="minorHAnsi" w:hAnsiTheme="minorHAnsi"/>
          <w:lang w:eastAsia="cs-CZ"/>
        </w:rPr>
      </w:pPr>
      <w:r w:rsidRPr="00EB27FB">
        <w:rPr>
          <w:rFonts w:asciiTheme="minorHAnsi" w:hAnsiTheme="minorHAnsi"/>
          <w:lang w:eastAsia="cs-CZ"/>
        </w:rPr>
        <w:t xml:space="preserve">§ 284 – Přechovávání omamné a psychotropní látky a jedu </w:t>
      </w:r>
    </w:p>
    <w:p w:rsidR="001110D2" w:rsidRPr="00EB27FB" w:rsidRDefault="001110D2" w:rsidP="002862AB">
      <w:pPr>
        <w:spacing w:after="0" w:line="240" w:lineRule="auto"/>
        <w:jc w:val="both"/>
        <w:rPr>
          <w:rFonts w:asciiTheme="minorHAnsi" w:hAnsiTheme="minorHAnsi"/>
          <w:lang w:eastAsia="cs-CZ"/>
        </w:rPr>
      </w:pPr>
      <w:r w:rsidRPr="00EB27FB">
        <w:rPr>
          <w:rFonts w:asciiTheme="minorHAnsi" w:hAnsiTheme="minorHAnsi"/>
          <w:lang w:eastAsia="cs-CZ"/>
        </w:rPr>
        <w:t xml:space="preserve"> § 285 – Nedovolené pěstování rostlin obsahujících omamnou nebo psychotropní látku </w:t>
      </w:r>
    </w:p>
    <w:p w:rsidR="004F010C" w:rsidRPr="00EB27FB" w:rsidRDefault="001110D2" w:rsidP="002862AB">
      <w:pPr>
        <w:spacing w:after="0" w:line="240" w:lineRule="auto"/>
        <w:jc w:val="both"/>
        <w:rPr>
          <w:rFonts w:asciiTheme="minorHAnsi" w:hAnsiTheme="minorHAnsi"/>
          <w:lang w:eastAsia="cs-CZ"/>
        </w:rPr>
      </w:pPr>
      <w:r w:rsidRPr="00EB27FB">
        <w:rPr>
          <w:rFonts w:asciiTheme="minorHAnsi" w:hAnsiTheme="minorHAnsi"/>
          <w:lang w:eastAsia="cs-CZ"/>
        </w:rPr>
        <w:t xml:space="preserve">§ 287 – Šíření toxikomanie </w:t>
      </w:r>
    </w:p>
    <w:p w:rsidR="00A952CE" w:rsidRPr="00EB27FB" w:rsidRDefault="00A952CE" w:rsidP="002862AB">
      <w:pPr>
        <w:spacing w:after="0" w:line="240" w:lineRule="auto"/>
        <w:jc w:val="both"/>
        <w:rPr>
          <w:rFonts w:asciiTheme="minorHAnsi" w:hAnsiTheme="minorHAnsi"/>
        </w:rPr>
      </w:pPr>
      <w:bookmarkStart w:id="2" w:name="par360"/>
      <w:r w:rsidRPr="00EB27FB">
        <w:rPr>
          <w:rFonts w:asciiTheme="minorHAnsi" w:hAnsiTheme="minorHAnsi"/>
        </w:rPr>
        <w:t>§ 360 Opilství</w:t>
      </w:r>
      <w:bookmarkEnd w:id="2"/>
    </w:p>
    <w:p w:rsidR="001110D2" w:rsidRPr="005630BA" w:rsidRDefault="001110D2" w:rsidP="002862AB">
      <w:pPr>
        <w:spacing w:after="0" w:line="240" w:lineRule="auto"/>
        <w:jc w:val="both"/>
      </w:pPr>
    </w:p>
    <w:p w:rsidR="001110D2" w:rsidRPr="00EB27FB" w:rsidRDefault="001110D2" w:rsidP="002862AB">
      <w:pPr>
        <w:jc w:val="both"/>
        <w:rPr>
          <w:b/>
        </w:rPr>
      </w:pPr>
      <w:r w:rsidRPr="00EB27FB">
        <w:rPr>
          <w:b/>
        </w:rPr>
        <w:t>Tr</w:t>
      </w:r>
      <w:r w:rsidR="002B5E80">
        <w:rPr>
          <w:b/>
        </w:rPr>
        <w:t>estné činy spojené s konopím – nejen s ním, i další OPL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</w:pPr>
      <w:r w:rsidRPr="002B5E80">
        <w:t>nabídka,</w:t>
      </w:r>
      <w:r>
        <w:t xml:space="preserve"> zprostředkování, prodej, opatření jinému, přechovávání pro jiného – tzn. i ten kdo shání pro jiného, někomu schoval … i příprava je trestná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</w:pPr>
      <w:r>
        <w:t xml:space="preserve">přechovávání pro vlastní potřebu v množství větším než malém jakoukoliv formu látky obsahující THC – TČ – v množství menším než malém se jedná o přestupek, tzn. </w:t>
      </w:r>
      <w:r w:rsidRPr="00B10575">
        <w:rPr>
          <w:b/>
        </w:rPr>
        <w:t>přechovávání pro vlastní potřebu je vždy nelegální</w:t>
      </w:r>
      <w:r>
        <w:t xml:space="preserve"> – záleží jen na tom, jestli se jedná o TČ nebo přestupek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</w:pPr>
      <w:r>
        <w:t>pěstování v množství větším než malém rostliny konopí (opět v menším než malém množství přestupek)</w:t>
      </w:r>
    </w:p>
    <w:p w:rsidR="001110D2" w:rsidRPr="00EB27FB" w:rsidRDefault="001110D2" w:rsidP="002862A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šíření toxikomanie – pokud někoho svádí k užívání NL</w:t>
      </w:r>
      <w:r w:rsidR="00267B9F">
        <w:t xml:space="preserve"> (netýká se alkoholu)</w:t>
      </w:r>
      <w:r>
        <w:t>, podporuje ho v tom, nebo jinak podněcuje užívání (</w:t>
      </w:r>
      <w:r w:rsidR="00B10575">
        <w:t xml:space="preserve">př. </w:t>
      </w:r>
      <w:r>
        <w:t xml:space="preserve">v partě hecování) – přísnější trest, pokud jde o dítě mladší 18 </w:t>
      </w:r>
      <w:r w:rsidR="00B10575">
        <w:t xml:space="preserve">let </w:t>
      </w:r>
      <w:r>
        <w:t xml:space="preserve">a ještě </w:t>
      </w:r>
      <w:r w:rsidRPr="00EB27FB">
        <w:t>přísnější u dítěte mladšího 15 let</w:t>
      </w:r>
    </w:p>
    <w:p w:rsidR="001110D2" w:rsidRPr="00EB27FB" w:rsidRDefault="001110D2" w:rsidP="002862AB">
      <w:pPr>
        <w:pStyle w:val="Odstavecseseznamem"/>
        <w:jc w:val="both"/>
        <w:rPr>
          <w:b/>
        </w:rPr>
      </w:pPr>
    </w:p>
    <w:p w:rsidR="001110D2" w:rsidRPr="00EB27FB" w:rsidRDefault="001110D2" w:rsidP="002862AB">
      <w:pPr>
        <w:pStyle w:val="Odstavecseseznamem"/>
        <w:ind w:left="0"/>
        <w:jc w:val="both"/>
        <w:rPr>
          <w:b/>
        </w:rPr>
      </w:pPr>
      <w:r w:rsidRPr="00EB27FB">
        <w:rPr>
          <w:b/>
        </w:rPr>
        <w:t>Trestné činy spojené s alkoholem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 xml:space="preserve">prodej a </w:t>
      </w:r>
      <w:r w:rsidRPr="004F010C">
        <w:rPr>
          <w:b/>
        </w:rPr>
        <w:t xml:space="preserve">podávání </w:t>
      </w:r>
      <w:r w:rsidR="00906C69">
        <w:t xml:space="preserve">alkoholu dítěti </w:t>
      </w:r>
      <w:r w:rsidR="00906C69" w:rsidRPr="00825445">
        <w:rPr>
          <w:b/>
        </w:rPr>
        <w:t>ve větší míře</w:t>
      </w:r>
    </w:p>
    <w:p w:rsidR="00885D77" w:rsidRDefault="001110D2" w:rsidP="00885D7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t xml:space="preserve">ohrožení pod vlivem NL – vykonávání zaměstnání nebo jinou činnost, při které by mohl ohrozit zdraví a život lidí nebo způsobit značnou škodu na majetku ve stavu vylučujícím </w:t>
      </w:r>
      <w:r w:rsidRPr="00EB27FB">
        <w:rPr>
          <w:rFonts w:asciiTheme="minorHAnsi" w:hAnsiTheme="minorHAnsi"/>
        </w:rPr>
        <w:t>způsobilost, kterou si přivodil vlivem návykové látky</w:t>
      </w:r>
    </w:p>
    <w:p w:rsidR="00885D77" w:rsidRDefault="001110D2" w:rsidP="00885D7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885D77">
        <w:rPr>
          <w:rFonts w:asciiTheme="minorHAnsi" w:hAnsiTheme="minorHAnsi"/>
        </w:rPr>
        <w:t xml:space="preserve">opilství – nejen u alkoholu i ostatní OPL – </w:t>
      </w:r>
      <w:r w:rsidR="00CF3310" w:rsidRPr="00885D77">
        <w:rPr>
          <w:rFonts w:asciiTheme="minorHAnsi" w:hAnsiTheme="minorHAnsi"/>
        </w:rPr>
        <w:t>kdo se p</w:t>
      </w:r>
      <w:r w:rsidR="00885D77">
        <w:rPr>
          <w:rFonts w:asciiTheme="minorHAnsi" w:hAnsiTheme="minorHAnsi"/>
        </w:rPr>
        <w:t>ožitím nebo aplikací NL přivede</w:t>
      </w:r>
    </w:p>
    <w:p w:rsidR="001110D2" w:rsidRPr="00885D77" w:rsidRDefault="00CF3310" w:rsidP="00885D77">
      <w:pPr>
        <w:pStyle w:val="Odstavecseseznamem"/>
        <w:jc w:val="both"/>
        <w:rPr>
          <w:rFonts w:asciiTheme="minorHAnsi" w:hAnsiTheme="minorHAnsi"/>
        </w:rPr>
      </w:pPr>
      <w:r w:rsidRPr="00885D77">
        <w:rPr>
          <w:rFonts w:asciiTheme="minorHAnsi" w:hAnsiTheme="minorHAnsi"/>
        </w:rPr>
        <w:t>(i z nedbalosti), do stavu nepříčetnosti a v něm spáchá trestný čin bude potrestán dle §360 za opilství</w:t>
      </w:r>
      <w:r w:rsidR="00AF0344" w:rsidRPr="00885D77">
        <w:rPr>
          <w:rFonts w:asciiTheme="minorHAnsi" w:hAnsiTheme="minorHAnsi"/>
        </w:rPr>
        <w:t xml:space="preserve">. Pokud za TČ, kterého se dopustil lze dostat mírnější trest než za opilství, tak bude potrestnán </w:t>
      </w:r>
      <w:r w:rsidR="002862AB" w:rsidRPr="00885D77">
        <w:rPr>
          <w:rFonts w:asciiTheme="minorHAnsi" w:hAnsiTheme="minorHAnsi"/>
        </w:rPr>
        <w:t>tímto trestem. Pokud se ale do stavu nepříčetnosti přivedl v</w:t>
      </w:r>
      <w:r w:rsidR="002862AB" w:rsidRPr="00885D77">
        <w:rPr>
          <w:rFonts w:asciiTheme="minorHAnsi" w:hAnsiTheme="minorHAnsi"/>
          <w:b/>
        </w:rPr>
        <w:t xml:space="preserve"> úmyslu </w:t>
      </w:r>
      <w:r w:rsidR="002862AB" w:rsidRPr="00885D77">
        <w:rPr>
          <w:rFonts w:asciiTheme="minorHAnsi" w:hAnsiTheme="minorHAnsi"/>
        </w:rPr>
        <w:t>spáchat TČ, nesnižuje to jeho příčetnost a bude potrestán za TČ, který spáchal, jako kdyby byl příčetný.</w:t>
      </w:r>
      <w:r w:rsidR="00885D77">
        <w:rPr>
          <w:rFonts w:asciiTheme="minorHAnsi" w:hAnsiTheme="minorHAnsi"/>
        </w:rPr>
        <w:t xml:space="preserve"> (tzn. i když pod vlivem spáchá TČ je za to vždy trestně zodpovědný)</w:t>
      </w:r>
    </w:p>
    <w:p w:rsidR="00885D77" w:rsidRDefault="00885D77" w:rsidP="002862AB">
      <w:pPr>
        <w:pStyle w:val="Odstavecseseznamem"/>
        <w:ind w:left="0"/>
        <w:jc w:val="both"/>
        <w:rPr>
          <w:b/>
        </w:rPr>
      </w:pPr>
    </w:p>
    <w:p w:rsidR="001110D2" w:rsidRPr="00EB27FB" w:rsidRDefault="001110D2" w:rsidP="002862AB">
      <w:pPr>
        <w:pStyle w:val="Odstavecseseznamem"/>
        <w:ind w:left="0"/>
        <w:jc w:val="both"/>
        <w:rPr>
          <w:b/>
        </w:rPr>
      </w:pPr>
      <w:r w:rsidRPr="00EB27FB">
        <w:rPr>
          <w:b/>
        </w:rPr>
        <w:t>Přestupky spojené s marihuanou a alkoholem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</w:pPr>
      <w:r>
        <w:t xml:space="preserve">přestupkem je to, když někdo </w:t>
      </w:r>
      <w:r w:rsidRPr="00F47521">
        <w:rPr>
          <w:b/>
        </w:rPr>
        <w:t>podá</w:t>
      </w:r>
      <w:r>
        <w:t>, prodá alkohol nebo jinou NL osobě mladší 18 let (</w:t>
      </w:r>
      <w:r w:rsidR="00825445">
        <w:t xml:space="preserve">př. </w:t>
      </w:r>
      <w:r>
        <w:t>starší kupují alkohol mladším apod.)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</w:pPr>
      <w:r w:rsidRPr="004F010C">
        <w:rPr>
          <w:b/>
        </w:rPr>
        <w:t>úmyslné umožňování</w:t>
      </w:r>
      <w:r>
        <w:t xml:space="preserve"> požívání alkoholu osobám mladším 18 let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</w:pPr>
      <w:r>
        <w:t>požívání alkoholu nebo jiné NL, i když dotyčný ví, že bude vykonávat zaměstnání nebo jinou činnost, při níž by mohl ohrozit zdraví lidí nebo poškodit majetek / a pak jí tuto činnost ve stavu vylučujícím způsobilost vykonává (</w:t>
      </w:r>
      <w:r w:rsidR="00825445">
        <w:t xml:space="preserve">př. </w:t>
      </w:r>
      <w:r>
        <w:t xml:space="preserve">hulení v práci, i když vím, že </w:t>
      </w:r>
      <w:r w:rsidR="00825445">
        <w:t xml:space="preserve">budu muset </w:t>
      </w:r>
      <w:r>
        <w:t>řídit..)</w:t>
      </w:r>
    </w:p>
    <w:p w:rsidR="001110D2" w:rsidRDefault="001110D2" w:rsidP="002862AB">
      <w:pPr>
        <w:pStyle w:val="Odstavecseseznamem"/>
        <w:numPr>
          <w:ilvl w:val="0"/>
          <w:numId w:val="1"/>
        </w:numPr>
        <w:jc w:val="both"/>
      </w:pPr>
      <w:r>
        <w:t xml:space="preserve">neoprávněné přechovávání </w:t>
      </w:r>
      <w:r w:rsidR="004F010C">
        <w:t xml:space="preserve">OPL </w:t>
      </w:r>
      <w:r>
        <w:t xml:space="preserve">v malém množství pro svoji potřebu </w:t>
      </w:r>
    </w:p>
    <w:p w:rsidR="00CF3310" w:rsidRDefault="00CF3310" w:rsidP="002862AB">
      <w:pPr>
        <w:spacing w:after="0" w:line="240" w:lineRule="auto"/>
        <w:ind w:left="360"/>
        <w:jc w:val="both"/>
      </w:pPr>
    </w:p>
    <w:p w:rsidR="00E646B9" w:rsidRDefault="00E646B9" w:rsidP="00E646B9">
      <w:pPr>
        <w:spacing w:after="0" w:line="240" w:lineRule="auto"/>
        <w:jc w:val="both"/>
      </w:pPr>
      <w:r>
        <w:rPr>
          <w:b/>
        </w:rPr>
        <w:t xml:space="preserve">§ 367 </w:t>
      </w:r>
      <w:r w:rsidRPr="00C566F7">
        <w:rPr>
          <w:b/>
        </w:rPr>
        <w:t>Nepřekažení TČ</w:t>
      </w:r>
      <w:r>
        <w:t xml:space="preserve"> – ty TČ, které jsou zrovna páchány nebo které se připravují</w:t>
      </w:r>
    </w:p>
    <w:p w:rsidR="00E646B9" w:rsidRDefault="00E646B9" w:rsidP="00E646B9">
      <w:pPr>
        <w:spacing w:after="0" w:line="240" w:lineRule="auto"/>
        <w:ind w:left="360"/>
        <w:jc w:val="both"/>
      </w:pPr>
      <w:r>
        <w:t xml:space="preserve">- </w:t>
      </w:r>
      <w:r w:rsidRPr="00CF3310">
        <w:rPr>
          <w:u w:val="single"/>
        </w:rPr>
        <w:t>nedovolené výroby a jiného nakládání s omamnými a psychotropními látkami a s jedy (§ 283)</w:t>
      </w:r>
      <w:r>
        <w:t xml:space="preserve"> </w:t>
      </w:r>
    </w:p>
    <w:p w:rsidR="00E646B9" w:rsidRDefault="00E646B9" w:rsidP="00E646B9">
      <w:pPr>
        <w:spacing w:after="0" w:line="240" w:lineRule="auto"/>
        <w:ind w:left="360"/>
        <w:jc w:val="both"/>
      </w:pPr>
      <w:r>
        <w:t xml:space="preserve">…kdo </w:t>
      </w:r>
      <w:r w:rsidRPr="00CF3310">
        <w:t>spáchání nebo dokončení takového trestného činu nepřekazí, bude potrestán odnětím svobody až na tři léta; stanoví-li tento zákon na některý z těchto trestných činů trest mírnější, bude potrestán oním trestem mírnějším.</w:t>
      </w:r>
    </w:p>
    <w:p w:rsidR="002862AB" w:rsidRDefault="002862AB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825445" w:rsidRDefault="00825445" w:rsidP="002862AB">
      <w:pPr>
        <w:spacing w:after="0" w:line="240" w:lineRule="auto"/>
        <w:jc w:val="both"/>
      </w:pPr>
    </w:p>
    <w:p w:rsidR="00C566F7" w:rsidRDefault="00C566F7" w:rsidP="002862AB">
      <w:pPr>
        <w:spacing w:after="0" w:line="240" w:lineRule="auto"/>
        <w:jc w:val="both"/>
      </w:pPr>
      <w:r>
        <w:t xml:space="preserve">Zdroje: </w:t>
      </w:r>
    </w:p>
    <w:p w:rsidR="00C566F7" w:rsidRPr="00EB27FB" w:rsidRDefault="00C566F7" w:rsidP="002862A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http://www.drogy</w:t>
      </w:r>
      <w:r w:rsidRPr="00EB27FB">
        <w:rPr>
          <w:rFonts w:asciiTheme="minorHAnsi" w:hAnsiTheme="minorHAnsi"/>
        </w:rPr>
        <w:t>info.cz/index.php/info/drogy_a_zakon/prosazovani_prava/nedovolene_nakladani_s_drogami_pravni_uprava_od_1_1_2010</w:t>
      </w:r>
    </w:p>
    <w:p w:rsidR="001110D2" w:rsidRPr="00825445" w:rsidRDefault="00C566F7" w:rsidP="00825445">
      <w:pPr>
        <w:spacing w:after="0" w:line="240" w:lineRule="auto"/>
        <w:jc w:val="both"/>
        <w:rPr>
          <w:rFonts w:asciiTheme="minorHAnsi" w:hAnsiTheme="minorHAnsi"/>
          <w:lang w:eastAsia="cs-CZ"/>
        </w:rPr>
      </w:pPr>
      <w:r w:rsidRPr="00EB27FB">
        <w:rPr>
          <w:rFonts w:asciiTheme="minorHAnsi" w:hAnsiTheme="minorHAnsi"/>
          <w:lang w:eastAsia="cs-CZ"/>
        </w:rPr>
        <w:t>http://business.center.cz/business/pravo/zakony/trestni-zakonik/</w:t>
      </w:r>
    </w:p>
    <w:sectPr w:rsidR="001110D2" w:rsidRPr="00825445" w:rsidSect="005E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284C"/>
    <w:multiLevelType w:val="hybridMultilevel"/>
    <w:tmpl w:val="9564BE4E"/>
    <w:lvl w:ilvl="0" w:tplc="2538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A7314"/>
    <w:multiLevelType w:val="hybridMultilevel"/>
    <w:tmpl w:val="9BACC022"/>
    <w:lvl w:ilvl="0" w:tplc="838864AA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F3470"/>
    <w:multiLevelType w:val="multilevel"/>
    <w:tmpl w:val="BD0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491"/>
    <w:rsid w:val="001110D2"/>
    <w:rsid w:val="00115B2E"/>
    <w:rsid w:val="00115F8A"/>
    <w:rsid w:val="001472BC"/>
    <w:rsid w:val="00194F5C"/>
    <w:rsid w:val="001E1A2A"/>
    <w:rsid w:val="00251A58"/>
    <w:rsid w:val="00267B9F"/>
    <w:rsid w:val="002862AB"/>
    <w:rsid w:val="002B5E80"/>
    <w:rsid w:val="002B6227"/>
    <w:rsid w:val="003912E0"/>
    <w:rsid w:val="0040697D"/>
    <w:rsid w:val="00412576"/>
    <w:rsid w:val="00427628"/>
    <w:rsid w:val="004F010C"/>
    <w:rsid w:val="005630BA"/>
    <w:rsid w:val="005D20D3"/>
    <w:rsid w:val="005E5E18"/>
    <w:rsid w:val="0060289C"/>
    <w:rsid w:val="00652994"/>
    <w:rsid w:val="006B782F"/>
    <w:rsid w:val="00711B32"/>
    <w:rsid w:val="007669F6"/>
    <w:rsid w:val="00775DC6"/>
    <w:rsid w:val="007962ED"/>
    <w:rsid w:val="007E3554"/>
    <w:rsid w:val="00813FB7"/>
    <w:rsid w:val="00825445"/>
    <w:rsid w:val="00870C28"/>
    <w:rsid w:val="00885D77"/>
    <w:rsid w:val="0088774E"/>
    <w:rsid w:val="00906C69"/>
    <w:rsid w:val="00991A80"/>
    <w:rsid w:val="00A34D86"/>
    <w:rsid w:val="00A75053"/>
    <w:rsid w:val="00A952CE"/>
    <w:rsid w:val="00AD1AE2"/>
    <w:rsid w:val="00AD41E3"/>
    <w:rsid w:val="00AF0344"/>
    <w:rsid w:val="00B042A0"/>
    <w:rsid w:val="00B10575"/>
    <w:rsid w:val="00BD1F50"/>
    <w:rsid w:val="00BF66DD"/>
    <w:rsid w:val="00C078DD"/>
    <w:rsid w:val="00C22491"/>
    <w:rsid w:val="00C2264C"/>
    <w:rsid w:val="00C35727"/>
    <w:rsid w:val="00C566F7"/>
    <w:rsid w:val="00CC59EF"/>
    <w:rsid w:val="00CF3310"/>
    <w:rsid w:val="00DA52B2"/>
    <w:rsid w:val="00DF0A24"/>
    <w:rsid w:val="00E64338"/>
    <w:rsid w:val="00E646B9"/>
    <w:rsid w:val="00EB27FB"/>
    <w:rsid w:val="00F00382"/>
    <w:rsid w:val="00F27AAB"/>
    <w:rsid w:val="00F47521"/>
    <w:rsid w:val="00FC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E1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2264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35727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5DC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5DC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711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Prostor Pro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43</cp:revision>
  <dcterms:created xsi:type="dcterms:W3CDTF">2012-06-18T15:40:00Z</dcterms:created>
  <dcterms:modified xsi:type="dcterms:W3CDTF">2012-07-31T07:58:00Z</dcterms:modified>
</cp:coreProperties>
</file>